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81" w:rsidRDefault="00A73981" w:rsidP="00A73981">
      <w:pPr>
        <w:ind w:firstLine="0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</w:tblGrid>
      <w:tr w:rsidR="00A73981" w:rsidRPr="002C198E" w:rsidTr="00124531">
        <w:tc>
          <w:tcPr>
            <w:tcW w:w="2198" w:type="dxa"/>
          </w:tcPr>
          <w:p w:rsidR="00A73981" w:rsidRPr="002C198E" w:rsidRDefault="00A73981" w:rsidP="00124531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BIOLÓGIA</w:t>
            </w:r>
          </w:p>
        </w:tc>
      </w:tr>
    </w:tbl>
    <w:p w:rsidR="00A73981" w:rsidRDefault="00A73981" w:rsidP="00A73981">
      <w:pPr>
        <w:ind w:right="4250"/>
        <w:rPr>
          <w:b/>
          <w:sz w:val="22"/>
          <w:szCs w:val="22"/>
        </w:rPr>
      </w:pPr>
    </w:p>
    <w:p w:rsidR="00A73981" w:rsidRPr="006F0F82" w:rsidRDefault="00A73981" w:rsidP="00A73981">
      <w:pPr>
        <w:pStyle w:val="Cmsor1"/>
        <w:rPr>
          <w:b w:val="0"/>
          <w:sz w:val="20"/>
        </w:rPr>
      </w:pPr>
      <w:r w:rsidRPr="006F0F82">
        <w:rPr>
          <w:sz w:val="20"/>
        </w:rPr>
        <w:t xml:space="preserve">Képzési forma, munkarend: </w:t>
      </w:r>
      <w:r>
        <w:rPr>
          <w:b w:val="0"/>
          <w:sz w:val="20"/>
        </w:rPr>
        <w:t>alapképzés, nappali és levelező</w:t>
      </w:r>
    </w:p>
    <w:p w:rsidR="00A73981" w:rsidRPr="006F0F82" w:rsidRDefault="00A73981" w:rsidP="00A73981">
      <w:pPr>
        <w:pStyle w:val="Cmsor1"/>
        <w:rPr>
          <w:b w:val="0"/>
          <w:bCs/>
          <w:sz w:val="20"/>
        </w:rPr>
      </w:pPr>
      <w:r w:rsidRPr="006F0F82">
        <w:rPr>
          <w:sz w:val="20"/>
        </w:rPr>
        <w:t xml:space="preserve">Képzési idő: </w:t>
      </w:r>
      <w:r w:rsidRPr="006F0F82">
        <w:rPr>
          <w:b w:val="0"/>
          <w:bCs/>
          <w:sz w:val="20"/>
        </w:rPr>
        <w:t>6 félév</w:t>
      </w:r>
      <w:r w:rsidRPr="006F0F82">
        <w:rPr>
          <w:b w:val="0"/>
          <w:bCs/>
          <w:sz w:val="20"/>
        </w:rPr>
        <w:tab/>
      </w:r>
    </w:p>
    <w:p w:rsidR="00A73981" w:rsidRDefault="00A73981" w:rsidP="00A73981">
      <w:pPr>
        <w:autoSpaceDE w:val="0"/>
        <w:autoSpaceDN w:val="0"/>
        <w:adjustRightInd w:val="0"/>
        <w:ind w:firstLine="0"/>
        <w:jc w:val="left"/>
        <w:rPr>
          <w:b/>
          <w:sz w:val="20"/>
        </w:rPr>
      </w:pPr>
    </w:p>
    <w:p w:rsidR="00A73981" w:rsidRPr="006F0F82" w:rsidRDefault="00A73981" w:rsidP="00A73981">
      <w:pPr>
        <w:autoSpaceDE w:val="0"/>
        <w:autoSpaceDN w:val="0"/>
        <w:adjustRightInd w:val="0"/>
        <w:ind w:firstLine="0"/>
        <w:jc w:val="left"/>
        <w:rPr>
          <w:sz w:val="20"/>
        </w:rPr>
      </w:pPr>
      <w:r w:rsidRPr="006F0F82">
        <w:rPr>
          <w:b/>
          <w:sz w:val="20"/>
        </w:rPr>
        <w:t>Érettségi követelmény:</w:t>
      </w:r>
      <w:r w:rsidRPr="006F0F82">
        <w:rPr>
          <w:sz w:val="20"/>
        </w:rPr>
        <w:t xml:space="preserve"> biológia vagy </w:t>
      </w:r>
      <w:proofErr w:type="gramStart"/>
      <w:r w:rsidRPr="006F0F82">
        <w:rPr>
          <w:sz w:val="20"/>
        </w:rPr>
        <w:t>fizika</w:t>
      </w:r>
      <w:proofErr w:type="gramEnd"/>
      <w:r w:rsidRPr="006F0F82">
        <w:rPr>
          <w:sz w:val="20"/>
        </w:rPr>
        <w:t xml:space="preserve"> vagy földrajz vagy informatika vagy kémia vagy matematika vagy</w:t>
      </w:r>
    </w:p>
    <w:p w:rsidR="00A73981" w:rsidRPr="006F0F82" w:rsidRDefault="00A73981" w:rsidP="00A73981">
      <w:pPr>
        <w:ind w:firstLine="0"/>
        <w:rPr>
          <w:sz w:val="20"/>
          <w:vertAlign w:val="superscript"/>
        </w:rPr>
      </w:pPr>
      <w:proofErr w:type="gramStart"/>
      <w:r>
        <w:rPr>
          <w:sz w:val="20"/>
        </w:rPr>
        <w:t>természettudomány</w:t>
      </w:r>
      <w:proofErr w:type="gramEnd"/>
      <w:r>
        <w:rPr>
          <w:sz w:val="20"/>
        </w:rPr>
        <w:t xml:space="preserve"> vagy </w:t>
      </w:r>
      <w:r w:rsidRPr="006F0F82">
        <w:rPr>
          <w:sz w:val="20"/>
        </w:rPr>
        <w:t>szakmai előkészítő tárgy (elektronikai alapismeretek,</w:t>
      </w:r>
      <w:r>
        <w:rPr>
          <w:sz w:val="20"/>
        </w:rPr>
        <w:t xml:space="preserve"> gépészeti alapismeretek, informatikai alapism</w:t>
      </w:r>
      <w:r>
        <w:rPr>
          <w:sz w:val="20"/>
        </w:rPr>
        <w:t>e</w:t>
      </w:r>
      <w:r>
        <w:rPr>
          <w:sz w:val="20"/>
        </w:rPr>
        <w:t>retek,</w:t>
      </w:r>
      <w:r w:rsidRPr="006F0F82">
        <w:rPr>
          <w:sz w:val="20"/>
        </w:rPr>
        <w:t xml:space="preserve"> környezetvédelmi-vízgazdálkodási alapismeretek, közgazdasági alapismere</w:t>
      </w:r>
      <w:r>
        <w:rPr>
          <w:sz w:val="20"/>
        </w:rPr>
        <w:t>tek</w:t>
      </w:r>
      <w:r w:rsidRPr="006F0F82">
        <w:rPr>
          <w:sz w:val="20"/>
        </w:rPr>
        <w:t>)</w:t>
      </w:r>
    </w:p>
    <w:p w:rsidR="00A73981" w:rsidRDefault="00A73981" w:rsidP="00A73981">
      <w:pPr>
        <w:pStyle w:val="Cmsor1"/>
        <w:rPr>
          <w:sz w:val="20"/>
        </w:rPr>
      </w:pPr>
    </w:p>
    <w:p w:rsidR="00A73981" w:rsidRPr="006F0F82" w:rsidRDefault="00A73981" w:rsidP="00A73981">
      <w:pPr>
        <w:pStyle w:val="Cmsor1"/>
        <w:rPr>
          <w:sz w:val="20"/>
        </w:rPr>
      </w:pPr>
      <w:r w:rsidRPr="006F0F82">
        <w:rPr>
          <w:sz w:val="20"/>
        </w:rPr>
        <w:t xml:space="preserve">A szakképzettség oklevélben szereplő megnevezése: </w:t>
      </w:r>
      <w:r w:rsidRPr="006F0F82">
        <w:rPr>
          <w:b w:val="0"/>
          <w:sz w:val="20"/>
        </w:rPr>
        <w:t>biológus</w:t>
      </w:r>
    </w:p>
    <w:p w:rsidR="00A73981" w:rsidRPr="00A73981" w:rsidRDefault="00A73981" w:rsidP="00A73981">
      <w:pPr>
        <w:pStyle w:val="Cmsor1"/>
        <w:tabs>
          <w:tab w:val="num" w:pos="0"/>
        </w:tabs>
        <w:rPr>
          <w:b w:val="0"/>
          <w:sz w:val="20"/>
        </w:rPr>
      </w:pPr>
      <w:r>
        <w:rPr>
          <w:sz w:val="20"/>
        </w:rPr>
        <w:t>Specializációk</w:t>
      </w:r>
      <w:r w:rsidRPr="006F0F82">
        <w:rPr>
          <w:sz w:val="20"/>
        </w:rPr>
        <w:t>:</w:t>
      </w:r>
      <w:r>
        <w:rPr>
          <w:sz w:val="20"/>
        </w:rPr>
        <w:t xml:space="preserve"> </w:t>
      </w:r>
      <w:r w:rsidRPr="00A37C92">
        <w:rPr>
          <w:b w:val="0"/>
          <w:sz w:val="20"/>
        </w:rPr>
        <w:t>biológia</w:t>
      </w:r>
      <w:r w:rsidRPr="00A37C92">
        <w:rPr>
          <w:b w:val="0"/>
          <w:iCs/>
          <w:sz w:val="20"/>
        </w:rPr>
        <w:t xml:space="preserve">, </w:t>
      </w:r>
      <w:r w:rsidRPr="00A37C92">
        <w:rPr>
          <w:b w:val="0"/>
          <w:sz w:val="20"/>
        </w:rPr>
        <w:t>biológus laboratóriumi operátor</w:t>
      </w:r>
    </w:p>
    <w:p w:rsidR="00A73981" w:rsidRPr="006F0F82" w:rsidRDefault="00A73981" w:rsidP="00A73981">
      <w:pPr>
        <w:ind w:firstLine="0"/>
        <w:rPr>
          <w:sz w:val="20"/>
        </w:rPr>
      </w:pPr>
      <w:r w:rsidRPr="006F0F82">
        <w:rPr>
          <w:b/>
          <w:sz w:val="20"/>
        </w:rPr>
        <w:t>A képzés célja:</w:t>
      </w:r>
      <w:r w:rsidRPr="006F0F82">
        <w:rPr>
          <w:sz w:val="20"/>
        </w:rPr>
        <w:t xml:space="preserve"> olyan biológusok képzése, akik természettudományos, matematikai, kémiai, fizikai és informatikai alapism</w:t>
      </w:r>
      <w:r w:rsidRPr="006F0F82">
        <w:rPr>
          <w:sz w:val="20"/>
        </w:rPr>
        <w:t>e</w:t>
      </w:r>
      <w:r w:rsidRPr="006F0F82">
        <w:rPr>
          <w:sz w:val="20"/>
        </w:rPr>
        <w:t>reteik birtokában képesek a biológia legfontosabb összefüggéseinek az elemzésére, új biológiai ismeretek megszerzésére. I</w:t>
      </w:r>
      <w:r w:rsidRPr="006F0F82">
        <w:rPr>
          <w:sz w:val="20"/>
        </w:rPr>
        <w:t>s</w:t>
      </w:r>
      <w:r w:rsidRPr="006F0F82">
        <w:rPr>
          <w:sz w:val="20"/>
        </w:rPr>
        <w:t>merik tudományterületükön a legfontosabb kutatási módszereket. Gyakorlati és laboratóriumi ismereteik alapján alkalmasak biológiai feladatok megtervezésére, megoldására és értékelésére, továbbá kellő mélységű elméleti ismerettel rendelkeznek a képzés második ciklusban történő folytatásához. Az alapfokozat birtokában a biológusok képesek: a biológia legfontosabb összefüggéseinek az elemzésére, az alapelvek gyakorlati alkalmazására; a kutatás legalapvetőbb módszereinek a rutinszerű alkalmazására; laboratóriumi és terepi feladatok megoldására, laboratóriumi technikák, műszerek használatára, számítógépes adatfeldolgozásra. Tanulmányaikat befejezve képesek lesznek önálló biológiai tudományos probléma felvetésére, egyszerűbb kísérleti megoldások tervezésére, kivitelezésére és értékelésére; laboratóriumi és terepi körülmények között egyaránt.</w:t>
      </w:r>
    </w:p>
    <w:p w:rsidR="00A73981" w:rsidRPr="006F0F82" w:rsidRDefault="00A73981" w:rsidP="00A73981">
      <w:pPr>
        <w:ind w:firstLine="0"/>
        <w:rPr>
          <w:b/>
          <w:sz w:val="20"/>
        </w:rPr>
      </w:pPr>
    </w:p>
    <w:p w:rsidR="00A73981" w:rsidRPr="006F0F82" w:rsidRDefault="00A73981" w:rsidP="00A73981">
      <w:pPr>
        <w:ind w:firstLine="0"/>
        <w:rPr>
          <w:sz w:val="20"/>
        </w:rPr>
      </w:pPr>
      <w:r w:rsidRPr="006F0F82">
        <w:rPr>
          <w:b/>
          <w:sz w:val="20"/>
        </w:rPr>
        <w:t>Az ideális jelentkező:</w:t>
      </w:r>
      <w:r w:rsidRPr="006F0F82">
        <w:rPr>
          <w:sz w:val="20"/>
        </w:rPr>
        <w:t xml:space="preserve"> szereti a biológiát, a természet megfigyelését és kutatását, szabadban és laboratóriumi körülmények között. Érdeklik a modern kémiai és biológiai laborvizsgálatok, molekuláris biológiai ismeretek. Képes a biológiai vizsgál</w:t>
      </w:r>
      <w:r w:rsidRPr="006F0F82">
        <w:rPr>
          <w:sz w:val="20"/>
        </w:rPr>
        <w:t>a</w:t>
      </w:r>
      <w:r w:rsidRPr="006F0F82">
        <w:rPr>
          <w:sz w:val="20"/>
        </w:rPr>
        <w:t>tokban széles körben alkalmazni a számítástechnikai és informatikai ismereteket. Jó kapcsolatteremtő képességgel, kommun</w:t>
      </w:r>
      <w:r w:rsidRPr="006F0F82">
        <w:rPr>
          <w:sz w:val="20"/>
        </w:rPr>
        <w:t>i</w:t>
      </w:r>
      <w:r w:rsidRPr="006F0F82">
        <w:rPr>
          <w:sz w:val="20"/>
        </w:rPr>
        <w:t>kációs készséggel és idegen nyelvtudással rendelkezik.</w:t>
      </w:r>
    </w:p>
    <w:p w:rsidR="00A73981" w:rsidRPr="006F0F82" w:rsidRDefault="00A73981" w:rsidP="00A73981">
      <w:pPr>
        <w:ind w:firstLine="0"/>
        <w:rPr>
          <w:sz w:val="20"/>
        </w:rPr>
      </w:pPr>
    </w:p>
    <w:p w:rsidR="00A73981" w:rsidRPr="00126C54" w:rsidRDefault="00A73981" w:rsidP="00A73981">
      <w:pPr>
        <w:ind w:firstLine="0"/>
        <w:rPr>
          <w:sz w:val="20"/>
        </w:rPr>
      </w:pPr>
      <w:r w:rsidRPr="006F0F82">
        <w:rPr>
          <w:b/>
          <w:sz w:val="20"/>
        </w:rPr>
        <w:t>Nyelvi követelmények:</w:t>
      </w:r>
      <w:r w:rsidRPr="006F0F82">
        <w:rPr>
          <w:sz w:val="20"/>
        </w:rPr>
        <w:t xml:space="preserve"> </w:t>
      </w:r>
      <w:r w:rsidRPr="00126C54">
        <w:rPr>
          <w:sz w:val="20"/>
        </w:rPr>
        <w:t>az alapfokozat megszerzéséhez legalább egy élő idegen nyelvből államilag elismert, középfokú (B2) komplex típusú nyelvvizsga vagy azzal egyenértékű érettségi bizonyítvány vagy oklevél megszerzése szükséges.</w:t>
      </w:r>
    </w:p>
    <w:p w:rsidR="00A73981" w:rsidRPr="006F0F82" w:rsidRDefault="00A73981" w:rsidP="00A73981">
      <w:pPr>
        <w:ind w:firstLine="0"/>
        <w:rPr>
          <w:sz w:val="20"/>
        </w:rPr>
      </w:pPr>
    </w:p>
    <w:p w:rsidR="00A73981" w:rsidRDefault="00A73981" w:rsidP="00A73981">
      <w:pPr>
        <w:ind w:firstLine="0"/>
        <w:rPr>
          <w:sz w:val="20"/>
        </w:rPr>
      </w:pPr>
      <w:r w:rsidRPr="006F0F82">
        <w:rPr>
          <w:b/>
          <w:sz w:val="20"/>
        </w:rPr>
        <w:t>Továbbtanulási lehetőségek, doktori képzés</w:t>
      </w:r>
      <w:r w:rsidRPr="006F0F82">
        <w:rPr>
          <w:sz w:val="20"/>
        </w:rPr>
        <w:t>: hallgatóink a diploma megszerzése után magyarországi és külföldi egyetem</w:t>
      </w:r>
      <w:r w:rsidRPr="006F0F82">
        <w:rPr>
          <w:sz w:val="20"/>
        </w:rPr>
        <w:t>e</w:t>
      </w:r>
      <w:r w:rsidRPr="006F0F82">
        <w:rPr>
          <w:sz w:val="20"/>
        </w:rPr>
        <w:t xml:space="preserve">ken a biológiai alapszakra épülő mesterképzésben, illetve ezek után három éves doktori (PhD) </w:t>
      </w:r>
      <w:proofErr w:type="gramStart"/>
      <w:r w:rsidRPr="006F0F82">
        <w:rPr>
          <w:sz w:val="20"/>
        </w:rPr>
        <w:t>programon</w:t>
      </w:r>
      <w:proofErr w:type="gramEnd"/>
      <w:r w:rsidRPr="006F0F82">
        <w:rPr>
          <w:sz w:val="20"/>
        </w:rPr>
        <w:t xml:space="preserve"> folytathatják tanu</w:t>
      </w:r>
      <w:r w:rsidRPr="006F0F82">
        <w:rPr>
          <w:sz w:val="20"/>
        </w:rPr>
        <w:t>l</w:t>
      </w:r>
      <w:r w:rsidRPr="006F0F82">
        <w:rPr>
          <w:sz w:val="20"/>
        </w:rPr>
        <w:t>mányaikat.</w:t>
      </w:r>
    </w:p>
    <w:p w:rsidR="00A73981" w:rsidRDefault="00A73981" w:rsidP="00A73981">
      <w:pPr>
        <w:pStyle w:val="Cmsor1"/>
        <w:rPr>
          <w:sz w:val="20"/>
        </w:rPr>
      </w:pPr>
    </w:p>
    <w:p w:rsidR="00A73981" w:rsidRPr="006F0F82" w:rsidRDefault="00A73981" w:rsidP="00A73981">
      <w:pPr>
        <w:pStyle w:val="Cmsor1"/>
        <w:rPr>
          <w:sz w:val="20"/>
        </w:rPr>
      </w:pPr>
      <w:bookmarkStart w:id="0" w:name="_GoBack"/>
      <w:bookmarkEnd w:id="0"/>
      <w:r w:rsidRPr="006F0F82">
        <w:rPr>
          <w:sz w:val="20"/>
        </w:rPr>
        <w:t xml:space="preserve">A szakma szépségei: </w:t>
      </w:r>
      <w:r w:rsidRPr="006F0F82">
        <w:rPr>
          <w:b w:val="0"/>
          <w:sz w:val="20"/>
        </w:rPr>
        <w:t>a biológia alapképzést elvégző hallgató olyan a választott szakirányának megfelelő szakember, aki képes a legkülönfélébb biológiai, orvosi és egészségügyi, élelmiszeripari, környezetvédelmi, minőségvizsgáló laboratóriumok a</w:t>
      </w:r>
      <w:r w:rsidRPr="006F0F82">
        <w:rPr>
          <w:b w:val="0"/>
          <w:sz w:val="20"/>
        </w:rPr>
        <w:t>s</w:t>
      </w:r>
      <w:r w:rsidRPr="006F0F82">
        <w:rPr>
          <w:b w:val="0"/>
          <w:sz w:val="20"/>
        </w:rPr>
        <w:t>szisztensi feladatainak ellátására. Ezzel nemcsak egyszerű laboránsi feladatok ellátására képesek, hanem önálló laborfeladatok tervezésére és végzésére, felsőfokú végzettségük alapján középvezetői beosztásban is tevékenykedhetnek megfelelő gyakorlat elsajátítása után. A tanári specializációt választóknál a mikroszkopikus világ megismerése, megismertetése, a természet megf</w:t>
      </w:r>
      <w:r w:rsidRPr="006F0F82">
        <w:rPr>
          <w:b w:val="0"/>
          <w:sz w:val="20"/>
        </w:rPr>
        <w:t>i</w:t>
      </w:r>
      <w:r w:rsidRPr="006F0F82">
        <w:rPr>
          <w:b w:val="0"/>
          <w:sz w:val="20"/>
        </w:rPr>
        <w:t>gyelése terepen, kiránduláson és terepgyakorlatokon, az állatok és növények életének megértése, az élet és környezet visz</w:t>
      </w:r>
      <w:r w:rsidRPr="006F0F82">
        <w:rPr>
          <w:b w:val="0"/>
          <w:sz w:val="20"/>
        </w:rPr>
        <w:t>o</w:t>
      </w:r>
      <w:r w:rsidRPr="006F0F82">
        <w:rPr>
          <w:b w:val="0"/>
          <w:sz w:val="20"/>
        </w:rPr>
        <w:t>nyának tisztázása, a biológiai lét szépségeinek felfedezése, az érdeklődő kisdiákok tanulmányi sikereinek segítése.</w:t>
      </w:r>
    </w:p>
    <w:p w:rsidR="00A73981" w:rsidRPr="006F0F82" w:rsidRDefault="00A73981" w:rsidP="00A73981">
      <w:pPr>
        <w:pStyle w:val="Cmsor1"/>
        <w:rPr>
          <w:sz w:val="20"/>
        </w:rPr>
      </w:pPr>
    </w:p>
    <w:p w:rsidR="0093538A" w:rsidRPr="00A73981" w:rsidRDefault="00A73981" w:rsidP="00A73981">
      <w:pPr>
        <w:pStyle w:val="Cmsor1"/>
        <w:rPr>
          <w:bCs/>
          <w:sz w:val="20"/>
        </w:rPr>
      </w:pPr>
      <w:r w:rsidRPr="006F0F82">
        <w:rPr>
          <w:sz w:val="20"/>
        </w:rPr>
        <w:t xml:space="preserve">Elhelyezkedési esélyek és lehetőségek: </w:t>
      </w:r>
      <w:r w:rsidRPr="006F0F82">
        <w:rPr>
          <w:b w:val="0"/>
          <w:sz w:val="20"/>
        </w:rPr>
        <w:t>az ország egész területén, de ki</w:t>
      </w:r>
      <w:r>
        <w:rPr>
          <w:b w:val="0"/>
          <w:sz w:val="20"/>
        </w:rPr>
        <w:t>fejezetten az északi régióban</w:t>
      </w:r>
      <w:r w:rsidRPr="006F0F82">
        <w:rPr>
          <w:b w:val="0"/>
          <w:sz w:val="20"/>
        </w:rPr>
        <w:t>, az egyre szaporodó kö</w:t>
      </w:r>
      <w:r w:rsidRPr="006F0F82">
        <w:rPr>
          <w:b w:val="0"/>
          <w:sz w:val="20"/>
        </w:rPr>
        <w:t>r</w:t>
      </w:r>
      <w:r w:rsidRPr="006F0F82">
        <w:rPr>
          <w:b w:val="0"/>
          <w:sz w:val="20"/>
        </w:rPr>
        <w:t>nyezetvédelmi, egészségügyi, vízvédelmi, élelmiszeripari, élelmiszerbiztonsági, gyógyszeripari, mezőgazdasági laboratóri</w:t>
      </w:r>
      <w:r w:rsidRPr="006F0F82">
        <w:rPr>
          <w:b w:val="0"/>
          <w:sz w:val="20"/>
        </w:rPr>
        <w:t>u</w:t>
      </w:r>
      <w:r w:rsidRPr="006F0F82">
        <w:rPr>
          <w:b w:val="0"/>
          <w:sz w:val="20"/>
        </w:rPr>
        <w:t>mok igénylik a gyakorlati szakembereket. A képzés, jellege folytán, alkalmas arra, hogy az alapszakot teljesítő, felsőfokú vé</w:t>
      </w:r>
      <w:r w:rsidRPr="006F0F82">
        <w:rPr>
          <w:b w:val="0"/>
          <w:sz w:val="20"/>
        </w:rPr>
        <w:t>g</w:t>
      </w:r>
      <w:r w:rsidRPr="006F0F82">
        <w:rPr>
          <w:b w:val="0"/>
          <w:sz w:val="20"/>
        </w:rPr>
        <w:t xml:space="preserve">zettségű szakemberek önálló asszisztensi feladatokat kapjanak az elméleti és alkalmazott kutatásokat végző laborokban és intézményekben egyaránt. A biológus </w:t>
      </w:r>
      <w:r>
        <w:rPr>
          <w:b w:val="0"/>
          <w:sz w:val="20"/>
        </w:rPr>
        <w:t>laboratóriumi operátor specializáción</w:t>
      </w:r>
      <w:r w:rsidRPr="006F0F82">
        <w:rPr>
          <w:b w:val="0"/>
          <w:sz w:val="20"/>
        </w:rPr>
        <w:t xml:space="preserve"> kifejezetten gyakorlatorientált képzési szerkezete alkalmassá teszi az ott végzőket a gyakorlati élet különböző területein jelentkező feladatok ellátására, például minőségvizsgáló laboratóriumokban az egészségügy, a konzerv- és élelmiszeripar, a gyógyszeripar, a környezetvédelem területén, továbbá </w:t>
      </w:r>
      <w:proofErr w:type="spellStart"/>
      <w:r w:rsidRPr="006F0F82">
        <w:rPr>
          <w:b w:val="0"/>
          <w:sz w:val="20"/>
        </w:rPr>
        <w:t>bioipari</w:t>
      </w:r>
      <w:proofErr w:type="spellEnd"/>
      <w:r w:rsidRPr="006F0F82">
        <w:rPr>
          <w:b w:val="0"/>
          <w:sz w:val="20"/>
        </w:rPr>
        <w:t xml:space="preserve"> munkahelyeken, vagy az agrárágazatban. Ismereteik hasznosíthatók bizonyos vállalkozói tevékenységek során is. </w:t>
      </w:r>
      <w:r w:rsidRPr="006F0F82">
        <w:rPr>
          <w:b w:val="0"/>
          <w:bCs/>
          <w:sz w:val="20"/>
        </w:rPr>
        <w:t>Általános iskolákban pedagógiai asszisztensként egyéb, nem tanórai feladatok felelőseként, az ország bármely pontján, ahol biológiaoktatás folyik.</w:t>
      </w:r>
    </w:p>
    <w:sectPr w:rsidR="0093538A" w:rsidRPr="00A73981" w:rsidSect="00A73981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D6" w:rsidRDefault="001340D6" w:rsidP="00FA45CC">
      <w:r>
        <w:separator/>
      </w:r>
    </w:p>
  </w:endnote>
  <w:endnote w:type="continuationSeparator" w:id="0">
    <w:p w:rsidR="001340D6" w:rsidRDefault="001340D6" w:rsidP="00F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C4214B" w:rsidRDefault="00FA45CC" w:rsidP="00FA45CC">
    <w:pPr>
      <w:pStyle w:val="llb"/>
      <w:ind w:firstLine="0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66CADC8" wp14:editId="5253A128">
              <wp:simplePos x="0" y="0"/>
              <wp:positionH relativeFrom="column">
                <wp:posOffset>-952500</wp:posOffset>
              </wp:positionH>
              <wp:positionV relativeFrom="paragraph">
                <wp:posOffset>-65405</wp:posOffset>
              </wp:positionV>
              <wp:extent cx="76581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5pt,-5.15pt" to="52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D4OJvO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FA45CC" w:rsidRPr="00C4214B" w:rsidRDefault="00FA45CC" w:rsidP="00FA45CC">
    <w:pPr>
      <w:pStyle w:val="llb"/>
      <w:ind w:firstLine="0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6D5A4AA7" wp14:editId="3BEEE1AE">
          <wp:simplePos x="0" y="0"/>
          <wp:positionH relativeFrom="column">
            <wp:posOffset>4295775</wp:posOffset>
          </wp:positionH>
          <wp:positionV relativeFrom="paragraph">
            <wp:posOffset>123190</wp:posOffset>
          </wp:positionV>
          <wp:extent cx="1476375" cy="225425"/>
          <wp:effectExtent l="0" t="0" r="9525" b="3175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FA45CC" w:rsidRPr="00C4214B" w:rsidRDefault="00FA45CC" w:rsidP="00FA45CC">
    <w:pPr>
      <w:pStyle w:val="llb"/>
      <w:ind w:firstLine="0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D6" w:rsidRDefault="001340D6" w:rsidP="00FA45CC">
      <w:r>
        <w:separator/>
      </w:r>
    </w:p>
  </w:footnote>
  <w:footnote w:type="continuationSeparator" w:id="0">
    <w:p w:rsidR="001340D6" w:rsidRDefault="001340D6" w:rsidP="00FA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C" w:rsidRPr="00515122" w:rsidRDefault="00FA45CC" w:rsidP="00FA45CC">
    <w:pPr>
      <w:pStyle w:val="lfej"/>
      <w:ind w:right="3364" w:firstLine="0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058D3AE" wp14:editId="2ABD9793">
          <wp:simplePos x="0" y="0"/>
          <wp:positionH relativeFrom="margin">
            <wp:posOffset>3090545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FA45CC" w:rsidRDefault="00FA45CC" w:rsidP="00FA45CC">
    <w:pPr>
      <w:pStyle w:val="lfej"/>
      <w:ind w:right="3364" w:firstLine="0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FA45CC" w:rsidRDefault="00FA45CC" w:rsidP="00FA45CC">
    <w:pPr>
      <w:pStyle w:val="lfej"/>
      <w:ind w:right="336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C"/>
    <w:rsid w:val="000A2433"/>
    <w:rsid w:val="001340D6"/>
    <w:rsid w:val="003B1A8C"/>
    <w:rsid w:val="0048190B"/>
    <w:rsid w:val="004F06BB"/>
    <w:rsid w:val="0093538A"/>
    <w:rsid w:val="00A73981"/>
    <w:rsid w:val="00AC0ECB"/>
    <w:rsid w:val="00AF26A2"/>
    <w:rsid w:val="00F20A7C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5C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A45CC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5C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FA45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FA45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45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C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FA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921F-CBAB-4D4B-A2DB-BB9A10F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 Gergely</dc:creator>
  <cp:lastModifiedBy>Grebely Gergely</cp:lastModifiedBy>
  <cp:revision>2</cp:revision>
  <dcterms:created xsi:type="dcterms:W3CDTF">2013-01-09T21:04:00Z</dcterms:created>
  <dcterms:modified xsi:type="dcterms:W3CDTF">2013-01-09T21:04:00Z</dcterms:modified>
</cp:coreProperties>
</file>